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1F4293" w:rsidP="00C57C2E">
      <w:pPr>
        <w:pStyle w:val="Normalutanindragellerluft"/>
      </w:pPr>
      <w:r>
        <w:t xml:space="preserve"> </w:t>
      </w:r>
    </w:p>
    <w:sdt>
      <w:sdtPr>
        <w:alias w:val="CC_Boilerplate_4"/>
        <w:tag w:val="CC_Boilerplate_4"/>
        <w:id w:val="-1644581176"/>
        <w:lock w:val="sdtLocked"/>
        <w:placeholder>
          <w:docPart w:val="3AAA04884AA543799956814E0636D3E5"/>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yrkandena_här"/>
        <w:tag w:val="CC_Format_Yrkanden"/>
        <w:id w:val="332496349"/>
        <w:lock w:val="sdtLocked"/>
        <w:placeholder>
          <w:docPart w:val="CE9C67ADDD7F4FF7BF3259D4E361D82B"/>
        </w:placeholder>
      </w:sdtPr>
      <w:sdtEndPr>
        <w:rPr>
          <w:rStyle w:val="FrslagstextChar"/>
        </w:rPr>
      </w:sdtEndPr>
      <w:sdtContent>
        <w:p w:rsidR="007C780D" w:rsidRPr="00727DBB" w:rsidRDefault="00251526" w:rsidP="005C1A39">
          <w:pPr>
            <w:pStyle w:val="Frslagstext"/>
            <w:numPr>
              <w:ilvl w:val="0"/>
              <w:numId w:val="0"/>
            </w:numPr>
          </w:pPr>
          <w:r w:rsidRPr="00727DBB">
            <w:rPr>
              <w:rStyle w:val="FrslagstextChar"/>
            </w:rPr>
            <w:t xml:space="preserve">Riksdagen ställer sig bakom det som anförs i motionen om att </w:t>
          </w:r>
          <w:r w:rsidR="001326AB" w:rsidRPr="00727DBB">
            <w:rPr>
              <w:rStyle w:val="FrslagstextChar"/>
            </w:rPr>
            <w:t xml:space="preserve">överväga om </w:t>
          </w:r>
          <w:r w:rsidRPr="00727DBB">
            <w:rPr>
              <w:rStyle w:val="FrslagstextChar"/>
            </w:rPr>
            <w:t>skatteavdrag bör införas även för hushållsnära reparationstjänster och tillkännager detta för regeringen.</w:t>
          </w:r>
        </w:p>
      </w:sdtContent>
    </w:sdt>
    <w:p w:rsidR="00AF30DD" w:rsidRDefault="000156D9" w:rsidP="00AF30DD">
      <w:pPr>
        <w:pStyle w:val="Rubrik1"/>
      </w:pPr>
      <w:bookmarkStart w:id="0" w:name="MotionsStart"/>
      <w:bookmarkEnd w:id="0"/>
      <w:r>
        <w:t>Motivering</w:t>
      </w:r>
    </w:p>
    <w:p w:rsidR="00251526" w:rsidRPr="00251526" w:rsidRDefault="00251526" w:rsidP="00251526">
      <w:pPr>
        <w:pStyle w:val="Normalutanindragellerluft"/>
      </w:pPr>
      <w:bookmarkStart w:id="1" w:name="_GoBack"/>
      <w:bookmarkEnd w:id="1"/>
      <w:r w:rsidRPr="00251526">
        <w:t>Skatteavdrag för hushållsnära tjänster har blivit en succé och utnyttjas av allt fler. Nya företag har skapats och många nya arbetstillfällen har tillkommit. Det är dags att överväga en utvidgning av denna lyckade reform.</w:t>
      </w:r>
    </w:p>
    <w:p w:rsidR="00251526" w:rsidRPr="00251526" w:rsidRDefault="00251526" w:rsidP="00251526">
      <w:r w:rsidRPr="00251526">
        <w:t>I dag lever vi i ett värre köp-slit-och-slängsamhälle än någonsin. Förklaringen är enkel, det blir allt billigare att köpa varor som tillverkats i andra länder med låga löner, medan det är dyrt att reparera saker eftersom det sker i vårt land med högre löner och högre skatter på arbete. Sedan läggs moms ovanpå alltihop som förstärker skillnaden ytterligare. Förutom slöseriet att det kastas massor av saker med små fel som ingen bryr sig om att laga så är det givetvis ett stort slöseri med både miljö och resurser att kasta nästan helt funktionsdugliga saker. Inte minst skapar det enorma berg av blandat avfall som det är förhållandevis dyrt eller komplicerat att återvinna. Inte minst gäller detta elektronik, fordon, motorer och vitvaror.</w:t>
      </w:r>
    </w:p>
    <w:p w:rsidR="00AF30DD" w:rsidRDefault="00251526" w:rsidP="00251526">
      <w:r w:rsidRPr="00251526">
        <w:t>När det statsfinansiella läget tillåter bör man därför överväga att införa skatteavdrag även för hushållsnära reparationstjänster. Det skulle minska avfallsberget, minska energiförbrukningen, bidra till att hushålla med våra naturresurser och sannolikt skapa fler arbetstillfällen.</w:t>
      </w:r>
    </w:p>
    <w:sdt>
      <w:sdtPr>
        <w:rPr>
          <w:i/>
          <w:noProof/>
        </w:rPr>
        <w:alias w:val="CC_Underskrifter"/>
        <w:tag w:val="CC_Underskrifter"/>
        <w:id w:val="583496634"/>
        <w:lock w:val="sdtContentLocked"/>
        <w:placeholder>
          <w:docPart w:val="29056C99F48C4AE78E84C72929E9EB62"/>
        </w:placeholder>
        <w15:dataBinding w:prefixMappings="xmlns:ns0='http://schemas.riksdagen.se/motion' xmlns:ns1='http://www.w3.org/2001/XMLSchema-instance' " w:xpath="/ns0:motionsdokument[1]/ns0:metadata[1]/ns0:signtext[1]" w:storeItemID="{37F93724-177E-4773-A6EF-62EBDF298BBD}"/>
        <w15:appearance w15:val="hidden"/>
      </w:sdtPr>
      <w:sdtEndPr>
        <w:rPr>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5C1A39">
            <w:tblPrEx>
              <w:tblCellMar>
                <w:top w:w="0" w:type="dxa"/>
                <w:bottom w:w="0" w:type="dxa"/>
              </w:tblCellMar>
            </w:tblPrEx>
            <w:trPr>
              <w:trHeight w:hRule="exact" w:val="1300"/>
            </w:trPr>
            <w:tc>
              <w:tcPr>
                <w:tcW w:w="4225" w:type="dxa"/>
                <w:vAlign w:val="bottom"/>
              </w:tcPr>
              <w:p w:rsidR="005C1A39" w:rsidRDefault="005C1A39" w:rsidP="005C1A39">
                <w:pPr>
                  <w:ind w:firstLine="0"/>
                </w:pPr>
                <w:r>
                  <w:rPr>
                    <w:i/>
                  </w:rPr>
                  <w:t>Jan Ericson (M)</w:t>
                </w:r>
              </w:p>
            </w:tc>
            <w:tc>
              <w:tcPr>
                <w:tcW w:w="4225" w:type="dxa"/>
                <w:vAlign w:val="bottom"/>
              </w:tcPr>
              <w:p w:rsidR="005C1A39" w:rsidRDefault="005C1A39" w:rsidP="005C1A39">
                <w:pPr>
                  <w:ind w:firstLine="0"/>
                </w:pPr>
              </w:p>
            </w:tc>
          </w:tr>
        </w:tbl>
        <w:p w:rsidR="00865E70" w:rsidRPr="00ED19F0" w:rsidRDefault="005C1A39" w:rsidP="005C1A39">
          <w:pPr>
            <w:pStyle w:val="Normalutanindragellerluft"/>
          </w:pPr>
          <w:r>
            <w:rPr>
              <w:i/>
            </w:rPr>
            <w:t>.</w:t>
          </w:r>
        </w:p>
      </w:sdtContent>
    </w:sdt>
    <w:sectPr w:rsidR="00865E70" w:rsidRPr="00ED19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C40" w:rsidRDefault="00413C40" w:rsidP="000C1CAD">
      <w:pPr>
        <w:spacing w:line="240" w:lineRule="auto"/>
      </w:pPr>
      <w:r>
        <w:separator/>
      </w:r>
    </w:p>
  </w:endnote>
  <w:endnote w:type="continuationSeparator" w:id="0">
    <w:p w:rsidR="00413C40" w:rsidRDefault="00413C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BB" w:rsidRDefault="00727DB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756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E2" w:rsidRDefault="00FD42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201510021653</w:instrText>
    </w:r>
    <w:r>
      <w:fldChar w:fldCharType="end"/>
    </w:r>
    <w:r>
      <w:instrText xml:space="preserve"> &gt; </w:instrText>
    </w:r>
    <w:r>
      <w:fldChar w:fldCharType="begin"/>
    </w:r>
    <w:r>
      <w:instrText xml:space="preserve"> PRINTDATE \@ "yyyyMMddHHmm" </w:instrText>
    </w:r>
    <w:r>
      <w:fldChar w:fldCharType="separate"/>
    </w:r>
    <w:r>
      <w:rPr>
        <w:noProof/>
      </w:rPr>
      <w:instrText>201510051120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11:20</w:instrText>
    </w:r>
    <w:r>
      <w:fldChar w:fldCharType="end"/>
    </w:r>
    <w:r>
      <w:instrText xml:space="preserve"> </w:instrText>
    </w:r>
    <w:r>
      <w:fldChar w:fldCharType="separate"/>
    </w:r>
    <w:r>
      <w:rPr>
        <w:noProof/>
      </w:rPr>
      <w:t>2015-10-05 11:20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C40" w:rsidRDefault="00413C40" w:rsidP="000C1CAD">
      <w:pPr>
        <w:spacing w:line="240" w:lineRule="auto"/>
      </w:pPr>
      <w:r>
        <w:separator/>
      </w:r>
    </w:p>
  </w:footnote>
  <w:footnote w:type="continuationSeparator" w:id="0">
    <w:p w:rsidR="00413C40" w:rsidRDefault="00413C4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BB" w:rsidRDefault="00727DB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BB" w:rsidRDefault="00727DB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Pr="00C57C2E" w:rsidRDefault="00A42228"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A42228" w:rsidRDefault="00A42228" w:rsidP="00283E0F">
        <w:pPr>
          <w:pStyle w:val="FSHNormal"/>
        </w:pPr>
        <w:r>
          <w:t>Enskild motion</w:t>
        </w:r>
      </w:p>
    </w:sdtContent>
  </w:sdt>
  <w:p w:rsidR="00A42228" w:rsidRDefault="00413C40" w:rsidP="00283E0F">
    <w:pPr>
      <w:pStyle w:val="FSHRub2"/>
    </w:pPr>
    <w:sdt>
      <w:sdtPr>
        <w:alias w:val="CC_Boilerplate_1"/>
        <w:tag w:val="CC_Boilerplate_1"/>
        <w:id w:val="2145382547"/>
        <w:lock w:val="sdtContentLocked"/>
        <w15:appearance w15:val="hidden"/>
        <w:text/>
      </w:sdtPr>
      <w:sdtEndPr/>
      <w:sdtContent>
        <w:r w:rsidR="00A42228" w:rsidRPr="007B02F6">
          <w:t>Motion till riksdagen</w:t>
        </w:r>
        <w:r w:rsidR="00A42228">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251526">
          <w:t>2015/16</w:t>
        </w:r>
      </w:sdtContent>
    </w:sdt>
    <w:sdt>
      <w:sdtPr>
        <w:alias w:val="CC_Noformat_Partibet"/>
        <w:tag w:val="CC_Noformat_Partibet"/>
        <w:id w:val="-802222303"/>
        <w:lock w:val="sdtContentLocked"/>
        <w:showingPlcHdr/>
        <w:dataBinding w:xpath="/ns0:motionsdokument[1]/ns0:metadata[1]/ns0:partibeteckning[1]" w:storeItemID="{37F93724-177E-4773-A6EF-62EBDF298BBD}"/>
        <w15:appearance w15:val="hidden"/>
        <w:text/>
      </w:sdtPr>
      <w:sdtEndPr/>
      <w:sdtContent>
        <w:r w:rsidR="00A42228" w:rsidRPr="00BB099C">
          <w:rPr>
            <w:rStyle w:val="Platshllartext"/>
            <w:color w:val="808080" w:themeColor="background1" w:themeShade="80"/>
          </w:rPr>
          <w:t xml:space="preserve">  </w:t>
        </w:r>
      </w:sdtContent>
    </w:sdt>
  </w:p>
  <w:p w:rsidR="00A42228" w:rsidRDefault="00413C40"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251526">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A42228" w:rsidRDefault="00251526" w:rsidP="00283E0F">
        <w:pPr>
          <w:pStyle w:val="FSHRub2"/>
        </w:pPr>
        <w:r>
          <w:t>REP-avdrag</w:t>
        </w:r>
      </w:p>
    </w:sdtContent>
  </w:sdt>
  <w:sdt>
    <w:sdtPr>
      <w:alias w:val="CC_Boilerplate_3"/>
      <w:tag w:val="CC_Boilerplate_3"/>
      <w:id w:val="-1567486118"/>
      <w:lock w:val="sdtContentLocked"/>
      <w15:appearance w15:val="hidden"/>
      <w:text w:multiLine="1"/>
    </w:sdtPr>
    <w:sdtEndPr/>
    <w:sdtContent>
      <w:p w:rsidR="00A42228" w:rsidRDefault="00A4222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152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6AB"/>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526"/>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563"/>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4CA2"/>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C40"/>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71F"/>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5FF"/>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1A39"/>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1B7E"/>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58F8"/>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DBB"/>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171"/>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7BA5"/>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2E2"/>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BF02CE-1BB3-4C7C-A2B7-9FB7C77E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AA04884AA543799956814E0636D3E5"/>
        <w:category>
          <w:name w:val="Allmänt"/>
          <w:gallery w:val="placeholder"/>
        </w:category>
        <w:types>
          <w:type w:val="bbPlcHdr"/>
        </w:types>
        <w:behaviors>
          <w:behavior w:val="content"/>
        </w:behaviors>
        <w:guid w:val="{80BF9BEF-5BE8-47E1-A2AC-497C03D376A7}"/>
      </w:docPartPr>
      <w:docPartBody>
        <w:p w:rsidR="004B6131" w:rsidRDefault="00700901">
          <w:pPr>
            <w:pStyle w:val="3AAA04884AA543799956814E0636D3E5"/>
          </w:pPr>
          <w:r w:rsidRPr="009A726D">
            <w:rPr>
              <w:rStyle w:val="Platshllartext"/>
            </w:rPr>
            <w:t>Klicka här för att ange text.</w:t>
          </w:r>
        </w:p>
      </w:docPartBody>
    </w:docPart>
    <w:docPart>
      <w:docPartPr>
        <w:name w:val="CE9C67ADDD7F4FF7BF3259D4E361D82B"/>
        <w:category>
          <w:name w:val="Allmänt"/>
          <w:gallery w:val="placeholder"/>
        </w:category>
        <w:types>
          <w:type w:val="bbPlcHdr"/>
        </w:types>
        <w:behaviors>
          <w:behavior w:val="content"/>
        </w:behaviors>
        <w:guid w:val="{6EA64563-BE83-4866-A6B6-55E78B5A8B1C}"/>
      </w:docPartPr>
      <w:docPartBody>
        <w:p w:rsidR="004B6131" w:rsidRDefault="00700901">
          <w:pPr>
            <w:pStyle w:val="CE9C67ADDD7F4FF7BF3259D4E361D82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9056C99F48C4AE78E84C72929E9EB62"/>
        <w:category>
          <w:name w:val="Allmänt"/>
          <w:gallery w:val="placeholder"/>
        </w:category>
        <w:types>
          <w:type w:val="bbPlcHdr"/>
        </w:types>
        <w:behaviors>
          <w:behavior w:val="content"/>
        </w:behaviors>
        <w:guid w:val="{B9F60AA1-7F24-46E5-8832-21C2C3EB7B6C}"/>
      </w:docPartPr>
      <w:docPartBody>
        <w:p w:rsidR="004B6131" w:rsidRDefault="00700901">
          <w:pPr>
            <w:pStyle w:val="29056C99F48C4AE78E84C72929E9EB6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01"/>
    <w:rsid w:val="004B6131"/>
    <w:rsid w:val="00700901"/>
    <w:rsid w:val="00C52B39"/>
    <w:rsid w:val="00E170F1"/>
    <w:rsid w:val="00FB0F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AA04884AA543799956814E0636D3E5">
    <w:name w:val="3AAA04884AA543799956814E0636D3E5"/>
  </w:style>
  <w:style w:type="paragraph" w:customStyle="1" w:styleId="CE9C67ADDD7F4FF7BF3259D4E361D82B">
    <w:name w:val="CE9C67ADDD7F4FF7BF3259D4E361D82B"/>
  </w:style>
  <w:style w:type="paragraph" w:customStyle="1" w:styleId="29056C99F48C4AE78E84C72929E9EB62">
    <w:name w:val="29056C99F48C4AE78E84C72929E9E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REP-avdrag</rubrik>
    <utgiftsomrade>för framtida bruk</utgiftsomrade>
    <riksmote xmlns="http://schemas.riksdagen.se/motion">2015/16</riksmote>
    <partikod xmlns="http://schemas.riksdagen.se/motion">M</partikod>
    <partinummer xmlns="http://schemas.riksdagen.se/motion">1063</partinummer>
    <underskriftsdatum>Stockholm den</underskriftsdatum>
    <kontaktperson>
      <namn/>
      <email xmlns="http://schemas.riksdagen.se/motion">christine.hanefalk@riksdagen.se</email>
    </kontaktperson>
    <checksumma>*T55AFCC799552*</checksumma>
    <motionskategori>Fristående</motionskategori>
  </motionsuppgifter>
  <anledning>
    <dokumenttyp/>
    <rubrik/>
    <riksmote/>
    <ar/>
    <dokumentnummer/>
    <organ/>
    <guid/>
    <sistainlamningsdag/>
  </anledning>
  <lista_motionar xmlns="http://schemas.riksdagen.se/motion">
    <motionar>
      <id>77</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1.3.0</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w:rsidR="005C1A39"&gt;&lt;w:tblPrEx&gt;&lt;w:tblCellMar&gt;&lt;w:top w:w="0" w:type="dxa"/&gt;&lt;w:bottom w:w="0" w:type="dxa"/&gt;&lt;/w:tblCellMar&gt;&lt;/w:tblPrEx&gt;&lt;w:trPr&gt;&lt;w:trHeight w:hRule="exact" w:val="1300"/&gt;&lt;/w:trPr&gt;&lt;w:tc&gt;&lt;w:tcPr&gt;&lt;w:tcW w:w="4225" w:type="dxa"/&gt;&lt;w:vAlign w:val="bottom"/&gt;&lt;/w:tcPr&gt;&lt;w:p w:rsidR="005C1A39" w:rsidRDefault="005C1A39" w:rsidP="005C1A39"&gt;&lt;w:pPr&gt;&lt;w:ind w:firstLine="0"/&gt;&lt;/w:pPr&gt;&lt;w:r&gt;&lt;w:rPr&gt;&lt;w:i/&gt;&lt;/w:rPr&gt;&lt;w:t&gt;Jan Ericson (M)&lt;/w:t&gt;&lt;/w:r&gt;&lt;/w:p&gt;&lt;/w:tc&gt;&lt;w:tc&gt;&lt;w:tcPr&gt;&lt;w:tcW w:w="4225" w:type="dxa"/&gt;&lt;w:vAlign w:val="bottom"/&gt;&lt;/w:tcPr&gt;&lt;w:p w:rsidR="005C1A39" w:rsidRDefault="005C1A39" w:rsidP="005C1A39"&gt;&lt;w:pPr&gt;&lt;w:ind w:firstLine="0"/&gt;&lt;/w:pPr&gt;&lt;/w:p&gt;&lt;/w:tc&gt;&lt;/w:tr&gt;&lt;/w:tbl&gt;&lt;w:p w:rsidR="00865E70" w:rsidRPr="00ED19F0" w:rsidRDefault="005C1A39" w:rsidP="005C1A39"&gt;&lt;w:pPr&gt;&lt;w:pStyle w:val="Normalutanindragellerluft"/&gt;&lt;/w:pPr&gt;&lt;w:r&gt;&lt;w:rPr&gt;&lt;w:i/&gt;&lt;/w:rPr&gt;&lt;w:t&gt;.&lt;/w:t&gt;&lt;/w:r&gt;&lt;/w:p&gt;&lt;w:p w:rsidR="00000000" w:rsidRDefault="00EC3808"/&gt;&lt;w:sectPr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row="2" locked="1"&gt;&lt;wetp:webextensionref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w:val="00194E0E"/&gt;&lt;w:pPr&gt;&lt;w:tabs&gt;&lt;w:tab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w:val="3F062FCA"/&gt;&lt;w:lvl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w:val="331411E2"/&gt;&lt;w:lvl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w:val="D5D03C28"/&gt;&lt;w:lvl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w:val="BEBE052C"/&gt;&lt;w:lvl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w:val="8F0072CA"/&gt;&lt;w:lvl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w:val="A0DCA1F6"/&gt;&lt;w:lvl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w:val="78DE7112"/&gt;&lt;w:lvl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w:val="D9C27F84"/&gt;&lt;w:lvl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w:abstractNumId="12"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JE&amp;#92;Klara att väcka&amp;#92;1063 REP avdrag.docx</documentpath>
    <historik>
      <overfort>
        <inskickad/>
        <loginid/>
      </overfort>
    </historik>
    <kontakttext/>
    <validera>1</validera>
    <skrivut>1</skrivut>
    <partibeteckning/>
  </metadata>
</motionsdokumen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A54026E0-1B9B-45AF-B480-900D5624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0</TotalTime>
  <Pages>2</Pages>
  <Words>223</Words>
  <Characters>1272</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201516M1063 REP avdrag</vt:lpstr>
      <vt:lpstr/>
    </vt:vector>
  </TitlesOfParts>
  <Company>Sveriges riksdag</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201516M1063 REP avdrag</dc:title>
  <dc:subject/>
  <dc:creator>Christine Hanefalk</dc:creator>
  <cp:keywords/>
  <dc:description/>
  <cp:lastModifiedBy>Christine Hanefalk</cp:lastModifiedBy>
  <cp:revision>2</cp:revision>
  <cp:lastPrinted>2015-10-05T09:20:00Z</cp:lastPrinted>
  <dcterms:created xsi:type="dcterms:W3CDTF">2015-10-05T09:20:00Z</dcterms:created>
  <dcterms:modified xsi:type="dcterms:W3CDTF">2015-10-05T09:20:00Z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*T55AFCC799552*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